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384636" w:rsidTr="00384636">
        <w:trPr>
          <w:gridAfter w:val="1"/>
          <w:wAfter w:w="33" w:type="dxa"/>
        </w:trPr>
        <w:tc>
          <w:tcPr>
            <w:tcW w:w="2142" w:type="dxa"/>
            <w:hideMark/>
          </w:tcPr>
          <w:p w:rsidR="00384636" w:rsidRDefault="009C2C4E" w:rsidP="00E774C4">
            <w:pPr>
              <w:spacing w:line="360" w:lineRule="auto"/>
              <w:rPr>
                <w:b/>
                <w:bCs/>
                <w:noProof w:val="0"/>
                <w:sz w:val="28"/>
                <w:szCs w:val="28"/>
                <w:u w:val="single"/>
              </w:rPr>
            </w:pPr>
            <w:sdt>
              <w:sdtPr>
                <w:rPr>
                  <w:b/>
                  <w:bCs/>
                  <w:sz w:val="28"/>
                  <w:szCs w:val="28"/>
                  <w:u w:val="single"/>
                  <w:rtl/>
                </w:rPr>
                <w:alias w:val="167"/>
                <w:tag w:val="167"/>
                <w:id w:val="272289708"/>
                <w:placeholder>
                  <w:docPart w:val="23309099808849A3A56095B5964044E5"/>
                </w:placeholder>
                <w:text w:multiLine="1"/>
              </w:sdtPr>
              <w:sdtEndPr/>
              <w:sdtContent>
                <w:r w:rsidR="00384636">
                  <w:rPr>
                    <w:b/>
                    <w:bCs/>
                    <w:sz w:val="28"/>
                    <w:szCs w:val="28"/>
                    <w:u w:val="single"/>
                    <w:rtl/>
                  </w:rPr>
                  <w:t>התובעת:</w:t>
                </w:r>
              </w:sdtContent>
            </w:sdt>
          </w:p>
        </w:tc>
        <w:tc>
          <w:tcPr>
            <w:tcW w:w="5670" w:type="dxa"/>
            <w:hideMark/>
          </w:tcPr>
          <w:p w:rsidR="00384636" w:rsidRDefault="00384636" w:rsidP="001802BB">
            <w:pPr>
              <w:spacing w:line="360" w:lineRule="auto"/>
              <w:rPr>
                <w:rtl/>
              </w:rPr>
            </w:pPr>
            <w:r>
              <w:rPr>
                <w:rFonts w:hint="cs"/>
                <w:b/>
                <w:bCs/>
                <w:sz w:val="28"/>
                <w:szCs w:val="28"/>
                <w:rtl/>
              </w:rPr>
              <w:t xml:space="preserve"> </w:t>
            </w:r>
            <w:sdt>
              <w:sdtPr>
                <w:rPr>
                  <w:b/>
                  <w:bCs/>
                  <w:sz w:val="28"/>
                  <w:szCs w:val="28"/>
                  <w:rtl/>
                </w:rPr>
                <w:alias w:val="825"/>
                <w:tag w:val="825"/>
                <w:id w:val="1180232435"/>
                <w:text w:multiLine="1"/>
              </w:sdtPr>
              <w:sdtEndPr/>
              <w:sdtContent>
                <w:r w:rsidR="001802BB">
                  <w:rPr>
                    <w:b/>
                    <w:bCs/>
                    <w:sz w:val="28"/>
                    <w:szCs w:val="28"/>
                    <w:rtl/>
                  </w:rPr>
                  <w:t>מ</w:t>
                </w:r>
                <w:r w:rsidR="001802BB">
                  <w:rPr>
                    <w:rFonts w:hint="cs"/>
                    <w:b/>
                    <w:bCs/>
                    <w:sz w:val="28"/>
                    <w:szCs w:val="28"/>
                    <w:rtl/>
                  </w:rPr>
                  <w:t xml:space="preserve">.ל. </w:t>
                </w:r>
              </w:sdtContent>
            </w:sdt>
            <w:r>
              <w:rPr>
                <w:rFonts w:hint="cs"/>
                <w:b/>
                <w:bCs/>
                <w:sz w:val="28"/>
                <w:szCs w:val="28"/>
                <w:rtl/>
              </w:rPr>
              <w:t xml:space="preserve"> </w:t>
            </w:r>
            <w:sdt>
              <w:sdtPr>
                <w:rPr>
                  <w:rFonts w:cs="Times New Roman"/>
                  <w:b/>
                  <w:bCs/>
                  <w:sz w:val="28"/>
                  <w:szCs w:val="28"/>
                  <w:rtl/>
                </w:rPr>
                <w:alias w:val="2686"/>
                <w:tag w:val="2686"/>
                <w:id w:val="2135055847"/>
                <w:placeholder>
                  <w:docPart w:val="F415FCE96C01490F94F43F1C067FF559"/>
                </w:placeholder>
                <w:text w:multiLine="1"/>
              </w:sdtPr>
              <w:sdtEndPr/>
              <w:sdtContent>
                <w:r>
                  <w:rPr>
                    <w:b/>
                    <w:bCs/>
                    <w:sz w:val="28"/>
                    <w:szCs w:val="28"/>
                    <w:rtl/>
                  </w:rPr>
                  <w:t>ת"ז</w:t>
                </w:r>
              </w:sdtContent>
            </w:sdt>
            <w:r>
              <w:rPr>
                <w:rFonts w:hint="cs"/>
                <w:b/>
                <w:bCs/>
                <w:sz w:val="28"/>
                <w:szCs w:val="28"/>
                <w:rtl/>
              </w:rPr>
              <w:t xml:space="preserve">, </w:t>
            </w:r>
            <w:sdt>
              <w:sdtPr>
                <w:rPr>
                  <w:rFonts w:cs="Times New Roman"/>
                  <w:b/>
                  <w:bCs/>
                  <w:sz w:val="28"/>
                  <w:szCs w:val="28"/>
                  <w:rtl/>
                </w:rPr>
                <w:alias w:val="2688"/>
                <w:tag w:val="2688"/>
                <w:id w:val="1539318755"/>
                <w:placeholder>
                  <w:docPart w:val="7A749876403A47DAB956219DAA8E1DCD"/>
                </w:placeholder>
                <w:text w:multiLine="1"/>
              </w:sdtPr>
              <w:sdtEndPr/>
              <w:sdtContent>
                <w:r w:rsidR="001802BB">
                  <w:rPr>
                    <w:rFonts w:hint="cs"/>
                    <w:b/>
                    <w:bCs/>
                    <w:sz w:val="28"/>
                    <w:szCs w:val="28"/>
                  </w:rPr>
                  <w:t>XXX</w:t>
                </w:r>
              </w:sdtContent>
            </w:sdt>
          </w:p>
        </w:tc>
        <w:tc>
          <w:tcPr>
            <w:tcW w:w="851" w:type="dxa"/>
          </w:tcPr>
          <w:p w:rsidR="00384636" w:rsidRDefault="00384636" w:rsidP="00E774C4">
            <w:pPr>
              <w:spacing w:line="360" w:lineRule="auto"/>
              <w:rPr>
                <w:b/>
                <w:bCs/>
                <w:sz w:val="28"/>
                <w:szCs w:val="28"/>
              </w:rPr>
            </w:pPr>
          </w:p>
        </w:tc>
      </w:tr>
      <w:tr w:rsidR="00384636" w:rsidTr="00384636">
        <w:tc>
          <w:tcPr>
            <w:tcW w:w="8696" w:type="dxa"/>
            <w:gridSpan w:val="4"/>
          </w:tcPr>
          <w:p w:rsidR="00384636" w:rsidRDefault="00384636" w:rsidP="00E774C4">
            <w:pPr>
              <w:spacing w:line="360" w:lineRule="auto"/>
              <w:jc w:val="center"/>
              <w:rPr>
                <w:rFonts w:ascii="Arial" w:hAnsi="Arial"/>
                <w:b/>
                <w:bCs/>
                <w:sz w:val="20"/>
                <w:szCs w:val="20"/>
                <w:rtl/>
              </w:rPr>
            </w:pPr>
          </w:p>
          <w:p w:rsidR="00384636" w:rsidRDefault="00384636" w:rsidP="00E774C4">
            <w:pPr>
              <w:spacing w:line="360" w:lineRule="auto"/>
              <w:jc w:val="center"/>
              <w:rPr>
                <w:rFonts w:ascii="Arial" w:hAnsi="Arial"/>
                <w:b/>
                <w:bCs/>
                <w:sz w:val="28"/>
                <w:szCs w:val="28"/>
                <w:rtl/>
              </w:rPr>
            </w:pPr>
            <w:r>
              <w:rPr>
                <w:rFonts w:ascii="Arial" w:hAnsi="Arial" w:hint="cs"/>
                <w:b/>
                <w:bCs/>
                <w:sz w:val="28"/>
                <w:szCs w:val="28"/>
                <w:rtl/>
              </w:rPr>
              <w:t>נ ג ד</w:t>
            </w:r>
          </w:p>
          <w:p w:rsidR="00384636" w:rsidRDefault="00384636" w:rsidP="00E774C4">
            <w:pPr>
              <w:spacing w:line="360" w:lineRule="auto"/>
              <w:jc w:val="center"/>
              <w:rPr>
                <w:rFonts w:ascii="Arial" w:hAnsi="Arial"/>
                <w:b/>
                <w:bCs/>
                <w:sz w:val="10"/>
                <w:szCs w:val="10"/>
                <w:rtl/>
              </w:rPr>
            </w:pPr>
          </w:p>
        </w:tc>
      </w:tr>
      <w:tr w:rsidR="00384636" w:rsidTr="00384636">
        <w:trPr>
          <w:trHeight w:val="768"/>
        </w:trPr>
        <w:sdt>
          <w:sdtPr>
            <w:rPr>
              <w:rFonts w:cs="Times New Roman" w:hint="cs"/>
              <w:b/>
              <w:bCs/>
              <w:sz w:val="28"/>
              <w:szCs w:val="28"/>
              <w:u w:val="single"/>
              <w:rtl/>
            </w:rPr>
            <w:alias w:val="308"/>
            <w:tag w:val="308"/>
            <w:id w:val="-220751215"/>
            <w:placeholder>
              <w:docPart w:val="5FDC2969C508476EB56B3715B84862FB"/>
            </w:placeholder>
            <w:text w:multiLine="1"/>
          </w:sdtPr>
          <w:sdtEndPr/>
          <w:sdtContent>
            <w:tc>
              <w:tcPr>
                <w:tcW w:w="2142" w:type="dxa"/>
                <w:hideMark/>
              </w:tcPr>
              <w:p w:rsidR="00384636" w:rsidRDefault="00384636" w:rsidP="00E774C4">
                <w:pPr>
                  <w:spacing w:line="360" w:lineRule="auto"/>
                  <w:ind w:left="26"/>
                  <w:rPr>
                    <w:rFonts w:cs="Times New Roman"/>
                    <w:b/>
                    <w:bCs/>
                    <w:sz w:val="28"/>
                    <w:szCs w:val="28"/>
                    <w:u w:val="single"/>
                  </w:rPr>
                </w:pPr>
                <w:r>
                  <w:rPr>
                    <w:b/>
                    <w:bCs/>
                    <w:sz w:val="28"/>
                    <w:szCs w:val="28"/>
                    <w:u w:val="single"/>
                    <w:rtl/>
                  </w:rPr>
                  <w:t>ה</w:t>
                </w:r>
                <w:r>
                  <w:rPr>
                    <w:rFonts w:hint="cs"/>
                    <w:b/>
                    <w:bCs/>
                    <w:sz w:val="28"/>
                    <w:szCs w:val="28"/>
                    <w:u w:val="single"/>
                    <w:rtl/>
                  </w:rPr>
                  <w:t>נתבע:</w:t>
                </w:r>
              </w:p>
            </w:tc>
          </w:sdtContent>
        </w:sdt>
        <w:tc>
          <w:tcPr>
            <w:tcW w:w="5670" w:type="dxa"/>
            <w:hideMark/>
          </w:tcPr>
          <w:p w:rsidR="00384636" w:rsidRDefault="009C2C4E" w:rsidP="001802BB">
            <w:pPr>
              <w:spacing w:line="360" w:lineRule="auto"/>
              <w:rPr>
                <w:rFonts w:ascii="David" w:eastAsia="David" w:hAnsi="David"/>
                <w:b/>
                <w:bCs/>
                <w:sz w:val="28"/>
                <w:szCs w:val="28"/>
                <w:rtl/>
              </w:rPr>
            </w:pPr>
            <w:sdt>
              <w:sdtPr>
                <w:rPr>
                  <w:b/>
                  <w:bCs/>
                  <w:sz w:val="28"/>
                  <w:szCs w:val="28"/>
                  <w:rtl/>
                </w:rPr>
                <w:alias w:val="1266"/>
                <w:tag w:val="1266"/>
                <w:id w:val="348377563"/>
                <w:text w:multiLine="1"/>
              </w:sdtPr>
              <w:sdtEndPr/>
              <w:sdtContent>
                <w:r w:rsidR="001802BB">
                  <w:rPr>
                    <w:b/>
                    <w:bCs/>
                    <w:sz w:val="28"/>
                    <w:szCs w:val="28"/>
                    <w:rtl/>
                  </w:rPr>
                  <w:t>ח</w:t>
                </w:r>
                <w:r w:rsidR="001802BB">
                  <w:rPr>
                    <w:rFonts w:hint="cs"/>
                    <w:b/>
                    <w:bCs/>
                    <w:sz w:val="28"/>
                    <w:szCs w:val="28"/>
                    <w:rtl/>
                  </w:rPr>
                  <w:t>.ל.</w:t>
                </w:r>
              </w:sdtContent>
            </w:sdt>
            <w:r w:rsidR="00384636">
              <w:rPr>
                <w:rFonts w:hint="cs"/>
                <w:b/>
                <w:bCs/>
                <w:sz w:val="28"/>
                <w:szCs w:val="28"/>
                <w:rtl/>
              </w:rPr>
              <w:t xml:space="preserve"> </w:t>
            </w:r>
            <w:sdt>
              <w:sdtPr>
                <w:rPr>
                  <w:rFonts w:cs="Times New Roman"/>
                  <w:b/>
                  <w:bCs/>
                  <w:sz w:val="28"/>
                  <w:szCs w:val="28"/>
                  <w:rtl/>
                </w:rPr>
                <w:alias w:val="2687"/>
                <w:tag w:val="2687"/>
                <w:id w:val="249321546"/>
                <w:placeholder>
                  <w:docPart w:val="8BB9FD383FEF4C299478C7CDEBC72FEF"/>
                </w:placeholder>
                <w:text w:multiLine="1"/>
              </w:sdtPr>
              <w:sdtEndPr/>
              <w:sdtContent>
                <w:r w:rsidR="00384636">
                  <w:rPr>
                    <w:b/>
                    <w:bCs/>
                    <w:sz w:val="28"/>
                    <w:szCs w:val="28"/>
                    <w:rtl/>
                  </w:rPr>
                  <w:t>ת"ז</w:t>
                </w:r>
              </w:sdtContent>
            </w:sdt>
            <w:r w:rsidR="00384636">
              <w:rPr>
                <w:rFonts w:hint="cs"/>
                <w:b/>
                <w:bCs/>
                <w:sz w:val="28"/>
                <w:szCs w:val="28"/>
                <w:rtl/>
              </w:rPr>
              <w:t xml:space="preserve">, </w:t>
            </w:r>
            <w:sdt>
              <w:sdtPr>
                <w:rPr>
                  <w:rFonts w:cs="Times New Roman"/>
                  <w:b/>
                  <w:bCs/>
                  <w:sz w:val="28"/>
                  <w:szCs w:val="28"/>
                  <w:rtl/>
                </w:rPr>
                <w:alias w:val="2689"/>
                <w:tag w:val="2689"/>
                <w:id w:val="-1679118125"/>
                <w:placeholder>
                  <w:docPart w:val="A55AF5F4AF804A90BAF0F30A93789345"/>
                </w:placeholder>
                <w:text w:multiLine="1"/>
              </w:sdtPr>
              <w:sdtEndPr/>
              <w:sdtContent>
                <w:r w:rsidR="001802BB">
                  <w:rPr>
                    <w:rFonts w:hint="cs"/>
                    <w:b/>
                    <w:bCs/>
                    <w:sz w:val="28"/>
                    <w:szCs w:val="28"/>
                  </w:rPr>
                  <w:t>XXX</w:t>
                </w:r>
              </w:sdtContent>
            </w:sdt>
          </w:p>
        </w:tc>
        <w:tc>
          <w:tcPr>
            <w:tcW w:w="884" w:type="dxa"/>
            <w:gridSpan w:val="2"/>
          </w:tcPr>
          <w:p w:rsidR="00384636" w:rsidRDefault="00384636" w:rsidP="00E774C4">
            <w:pPr>
              <w:spacing w:line="360" w:lineRule="auto"/>
              <w:rPr>
                <w:b/>
                <w:bCs/>
                <w:sz w:val="28"/>
                <w:szCs w:val="28"/>
                <w:rtl/>
              </w:rPr>
            </w:pPr>
          </w:p>
        </w:tc>
      </w:tr>
    </w:tbl>
    <w:p w:rsidR="00384636" w:rsidRDefault="00384636" w:rsidP="00E774C4">
      <w:pPr>
        <w:spacing w:line="360" w:lineRule="auto"/>
        <w:rPr>
          <w:rFonts w:ascii="Arial" w:hAnsi="Arial"/>
          <w:b/>
          <w:bCs/>
          <w:sz w:val="26"/>
          <w:u w:val="single"/>
          <w:rtl/>
        </w:rPr>
      </w:pPr>
    </w:p>
    <w:p w:rsidR="00384636" w:rsidRDefault="00384636" w:rsidP="00E774C4">
      <w:pPr>
        <w:spacing w:line="360" w:lineRule="auto"/>
        <w:rPr>
          <w:rFonts w:ascii="David" w:hAnsi="David"/>
          <w:rtl/>
        </w:rPr>
      </w:pPr>
      <w:r>
        <w:rPr>
          <w:rFonts w:ascii="Arial" w:hAnsi="Arial" w:hint="cs"/>
          <w:b/>
          <w:bCs/>
          <w:sz w:val="26"/>
          <w:u w:val="single"/>
          <w:rtl/>
        </w:rPr>
        <w:t>נוכחים</w:t>
      </w:r>
      <w:r>
        <w:rPr>
          <w:rFonts w:ascii="Arial" w:hAnsi="Arial" w:hint="cs"/>
          <w:b/>
          <w:bCs/>
          <w:sz w:val="26"/>
          <w:rtl/>
        </w:rPr>
        <w:t xml:space="preserve">: </w:t>
      </w:r>
    </w:p>
    <w:p w:rsidR="00384636" w:rsidRDefault="00384636" w:rsidP="00E774C4">
      <w:pPr>
        <w:spacing w:line="360" w:lineRule="auto"/>
        <w:rPr>
          <w:b/>
          <w:bCs/>
          <w:rtl/>
        </w:rPr>
      </w:pPr>
      <w:r>
        <w:rPr>
          <w:rFonts w:hint="cs"/>
          <w:b/>
          <w:bCs/>
          <w:rtl/>
        </w:rPr>
        <w:t>התובעת בעצמה ובאת כוחה עו"ד רותם גליקסברג</w:t>
      </w:r>
    </w:p>
    <w:p w:rsidR="00384636" w:rsidRDefault="00384636" w:rsidP="00E774C4">
      <w:pPr>
        <w:spacing w:line="360" w:lineRule="auto"/>
        <w:rPr>
          <w:b/>
          <w:bCs/>
          <w:rtl/>
        </w:rPr>
      </w:pPr>
      <w:r>
        <w:rPr>
          <w:rFonts w:hint="cs"/>
          <w:b/>
          <w:bCs/>
          <w:rtl/>
        </w:rPr>
        <w:t>הנתבע בעצמו ובאי כוחו עו"ד ציון פטל ועו"ד חנן שטיינר</w:t>
      </w:r>
    </w:p>
    <w:p w:rsidR="00384636" w:rsidRDefault="00384636" w:rsidP="001802BB">
      <w:pPr>
        <w:spacing w:line="360" w:lineRule="auto"/>
        <w:rPr>
          <w:b/>
          <w:bCs/>
          <w:rtl/>
        </w:rPr>
      </w:pPr>
      <w:r>
        <w:rPr>
          <w:rFonts w:hint="cs"/>
          <w:b/>
          <w:bCs/>
          <w:rtl/>
        </w:rPr>
        <w:t xml:space="preserve">בנו של הנתבע – מר </w:t>
      </w:r>
      <w:r w:rsidR="001802BB">
        <w:rPr>
          <w:rFonts w:hint="cs"/>
          <w:b/>
          <w:bCs/>
          <w:rtl/>
        </w:rPr>
        <w:t>א.ל.</w:t>
      </w:r>
    </w:p>
    <w:p w:rsidR="00384636" w:rsidRDefault="00384636" w:rsidP="00E774C4">
      <w:pPr>
        <w:spacing w:line="360" w:lineRule="auto"/>
        <w:rPr>
          <w:sz w:val="6"/>
          <w:szCs w:val="6"/>
          <w:rtl/>
        </w:rPr>
      </w:pPr>
      <w:r>
        <w:rPr>
          <w:rFonts w:hint="cs"/>
          <w:sz w:val="6"/>
          <w:szCs w:val="6"/>
          <w:rtl/>
        </w:rPr>
        <w:t>&lt;#1#&gt;</w:t>
      </w:r>
    </w:p>
    <w:p w:rsidR="00384636" w:rsidRDefault="00384636" w:rsidP="00E774C4">
      <w:pPr>
        <w:pStyle w:val="12"/>
        <w:spacing w:line="360" w:lineRule="auto"/>
        <w:rPr>
          <w:b w:val="0"/>
          <w:bCs w:val="0"/>
          <w:u w:val="none"/>
          <w:rtl/>
        </w:rPr>
      </w:pPr>
    </w:p>
    <w:p w:rsidR="00384636" w:rsidRDefault="00384636" w:rsidP="00E774C4">
      <w:pPr>
        <w:pStyle w:val="12"/>
        <w:spacing w:line="360" w:lineRule="auto"/>
        <w:jc w:val="center"/>
        <w:rPr>
          <w:sz w:val="32"/>
          <w:szCs w:val="32"/>
          <w:rtl/>
        </w:rPr>
      </w:pPr>
      <w:r>
        <w:rPr>
          <w:sz w:val="32"/>
          <w:szCs w:val="32"/>
          <w:rtl/>
        </w:rPr>
        <w:t>פרוטוקול</w:t>
      </w:r>
    </w:p>
    <w:p w:rsidR="00384636" w:rsidRDefault="00384636" w:rsidP="00E774C4">
      <w:pPr>
        <w:spacing w:line="360" w:lineRule="auto"/>
        <w:rPr>
          <w:rtl/>
        </w:rPr>
      </w:pPr>
    </w:p>
    <w:p w:rsidR="00384636" w:rsidRDefault="00384636" w:rsidP="00E774C4">
      <w:pPr>
        <w:spacing w:line="360" w:lineRule="auto"/>
        <w:rPr>
          <w:rtl/>
        </w:rPr>
      </w:pPr>
    </w:p>
    <w:p w:rsidR="00384636" w:rsidRDefault="001802BB" w:rsidP="00E774C4">
      <w:pPr>
        <w:spacing w:line="360" w:lineRule="auto"/>
        <w:rPr>
          <w:sz w:val="28"/>
          <w:szCs w:val="28"/>
          <w:rtl/>
        </w:rPr>
      </w:pPr>
      <w:r>
        <w:rPr>
          <w:rFonts w:hint="cs"/>
          <w:sz w:val="6"/>
          <w:szCs w:val="6"/>
          <w:rtl/>
        </w:rPr>
        <w:t>&lt;</w:t>
      </w:r>
      <w:r>
        <w:rPr>
          <w:rFonts w:hint="cs"/>
          <w:sz w:val="28"/>
          <w:szCs w:val="28"/>
          <w:rtl/>
        </w:rPr>
        <w:t>......</w:t>
      </w:r>
    </w:p>
    <w:p w:rsidR="001802BB" w:rsidRPr="001802BB" w:rsidRDefault="001802BB" w:rsidP="00E774C4">
      <w:pPr>
        <w:spacing w:line="360" w:lineRule="auto"/>
        <w:rPr>
          <w:sz w:val="28"/>
          <w:szCs w:val="28"/>
          <w:rtl/>
        </w:rPr>
      </w:pPr>
    </w:p>
    <w:p w:rsidR="00384636" w:rsidRDefault="00384636" w:rsidP="00E774C4">
      <w:pPr>
        <w:spacing w:line="360" w:lineRule="auto"/>
        <w:jc w:val="center"/>
        <w:rPr>
          <w:rFonts w:ascii="Arial" w:hAnsi="Arial"/>
          <w:b/>
          <w:bCs/>
          <w:sz w:val="28"/>
          <w:szCs w:val="28"/>
          <w:u w:val="single"/>
        </w:rPr>
      </w:pPr>
      <w:r>
        <w:rPr>
          <w:rFonts w:ascii="Arial" w:hAnsi="Arial" w:hint="cs"/>
          <w:b/>
          <w:bCs/>
          <w:sz w:val="28"/>
          <w:szCs w:val="28"/>
          <w:u w:val="single"/>
          <w:rtl/>
        </w:rPr>
        <w:t>החלטה</w:t>
      </w:r>
    </w:p>
    <w:p w:rsidR="00384636" w:rsidRDefault="00384636" w:rsidP="00B229BB">
      <w:pPr>
        <w:spacing w:line="360" w:lineRule="auto"/>
        <w:jc w:val="both"/>
        <w:rPr>
          <w:rFonts w:ascii="David" w:hAnsi="David"/>
          <w:rtl/>
        </w:rPr>
      </w:pPr>
      <w:r>
        <w:rPr>
          <w:rFonts w:hint="cs"/>
          <w:rtl/>
        </w:rPr>
        <w:t>ההתנהלות הטרומית בהליך זה מלווה במחדלים ובסימני שאלה הנובעים מהאופן שבו נוסח כתב התביעה.</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בטרם אדרש לשאלות מתחום עילת התביעה ונוסח כתב התביעה, אדרש למחדלים הדיוניים שכן למעשה הסוגיות שהציף בית המשפט בקדם המשפט,  הן סוגיות שצריך וראוי היה  ללבן בשלב הדיון המקדמי.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ביום  31.5.24, הגישו  הצדדים דיווח בדבר דיון מקדמי, כאשר דיון קדם המשפט היה קבוע להיום, 4.6.24.  זאת, באיחור וחרף האמור בתקנה 36 לתקנות סדר הדין האזרחי, התשע"ט – 2018 ( להלן: "</w:t>
      </w:r>
      <w:r>
        <w:rPr>
          <w:rFonts w:hint="cs"/>
          <w:b/>
          <w:bCs/>
          <w:rtl/>
        </w:rPr>
        <w:t>תקנות סדר הדין האזרחי</w:t>
      </w:r>
      <w:r>
        <w:rPr>
          <w:rFonts w:hint="cs"/>
          <w:rtl/>
        </w:rPr>
        <w:t xml:space="preserve">").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אם לא די בכך, מהדיווח שהוגש בלוויית טופס 4  על פי התוספת הראשונה לתקנות סדר הדין האזרחי, לא ניתן להבין דבר באשר לאופי ותוכן הדיון אשר כאמור כפי הנטען התקיים.</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עסקינן בדיווח לאקוני, בן מילים ספורות בכל אחד מן המקומות שבהם היה צריך לדווח. גם לו נניח שבשלב הדיון המקדמי, אין נדרשים בעלי הדין להגיע להסכמות או להעלות על הכתב כל מחלוקת עובדתית או משפטית כזו או אחרת ביניהם, הרי שברי כי דיווח זה כפי שהוגש איננו עולה בקנה אחד לא עם לשון תקנה 35 לתקנות סדר הדין האזרחי ולא עם תכליתה.</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תכלית חשובה, אם לא המרכזית, שבבסיס הדיון המקדמי היא  "</w:t>
      </w:r>
      <w:r>
        <w:rPr>
          <w:rFonts w:hint="cs"/>
          <w:b/>
          <w:bCs/>
          <w:rtl/>
        </w:rPr>
        <w:t>תיחום הפלוגתות בין בעלי הדין, מיקודן והאפשרות לצמצמן</w:t>
      </w:r>
      <w:r>
        <w:rPr>
          <w:rFonts w:hint="cs"/>
          <w:rtl/>
        </w:rPr>
        <w:t xml:space="preserve">" (תקנה 35(א)(1) לתקנות סדר הדין האזרחי; כן השוו: יששכר רוזן- צבי, </w:t>
      </w:r>
      <w:r>
        <w:rPr>
          <w:rFonts w:hint="cs"/>
          <w:b/>
          <w:bCs/>
          <w:rtl/>
        </w:rPr>
        <w:t>הרפורמה בסדר הדין האזרחי: מורה נבוכים</w:t>
      </w:r>
      <w:r>
        <w:rPr>
          <w:rFonts w:hint="cs"/>
          <w:rtl/>
        </w:rPr>
        <w:t xml:space="preserve">, 2021,  194,199-200).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התקנות אינן מחייבות את בעלי הדין להגיע להסכמות. אלא שהן מחייבות אותם לעמול הדדית ולבור את התבן מן הבר באופן שלכל הפחות תוצגנה לפני בית המשפט חזיתות המחלוקת העיקריות והשאלות הדיוניות הנובעות מהן.</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מקום בו חובה זו לא מקוימת, הרי שלמעשה יקשה על בית המשפט  לקיים את קדם המשפט כהלכה, באופן שקדם המשפט אשר מוקצית  לו  מסגרת זמן תחומה,  ינוצל לתכליות  לא לו (לעניין זה השוו: </w:t>
      </w:r>
      <w:r>
        <w:rPr>
          <w:rFonts w:hint="cs"/>
          <w:b/>
          <w:bCs/>
          <w:rtl/>
        </w:rPr>
        <w:t>פרק י' לתקנות סדר הדין האזרחי</w:t>
      </w:r>
      <w:r>
        <w:rPr>
          <w:rFonts w:hint="cs"/>
          <w:rtl/>
        </w:rPr>
        <w:t>).</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מחדלם של בעלי דין מלמלא אחר הוראות תקנה 35 לתקנות סדר הדין האזרחי, גורע, אפוא, לא רק מעניינם של בעלי הדין עצמם כי אם גם מעניינים של מתדיינים אחרים. זאת, שעה שהמחדל מלקיים הוראות אלה מוביל בהכרח להקצאת זמן שיפוטי ומנהלי נוסף בין אם בדיון ובין אם לאו, שהכוונה הייתה מלכתחילה להקצותו לטובות מתדיינים אחרים שגם להם מגיע יומם בבית המשפט </w:t>
      </w:r>
      <w:r>
        <w:t>]</w:t>
      </w:r>
      <w:r>
        <w:rPr>
          <w:rFonts w:hint="cs"/>
          <w:rtl/>
        </w:rPr>
        <w:t>השוו למשל</w:t>
      </w:r>
      <w:r>
        <w:rPr>
          <w:rFonts w:hint="cs"/>
        </w:rPr>
        <w:t xml:space="preserve"> </w:t>
      </w:r>
      <w:r>
        <w:rPr>
          <w:rFonts w:hint="cs"/>
          <w:rtl/>
        </w:rPr>
        <w:t>לאחרונה:</w:t>
      </w:r>
      <w:r>
        <w:rPr>
          <w:rFonts w:hint="cs"/>
        </w:rPr>
        <w:t xml:space="preserve"> </w:t>
      </w:r>
      <w:r>
        <w:rPr>
          <w:rFonts w:hint="cs"/>
          <w:rtl/>
        </w:rPr>
        <w:t>ע</w:t>
      </w:r>
      <w:r>
        <w:t>"</w:t>
      </w:r>
      <w:r>
        <w:rPr>
          <w:rFonts w:hint="cs"/>
          <w:rtl/>
        </w:rPr>
        <w:t>א</w:t>
      </w:r>
      <w:r>
        <w:t xml:space="preserve"> 6460/21 </w:t>
      </w:r>
      <w:r>
        <w:rPr>
          <w:rFonts w:hint="cs"/>
          <w:b/>
          <w:bCs/>
          <w:rtl/>
        </w:rPr>
        <w:t xml:space="preserve">פרץ נ' כהן  </w:t>
      </w:r>
      <w:r>
        <w:t>)</w:t>
      </w:r>
      <w:r>
        <w:rPr>
          <w:rFonts w:hint="cs"/>
          <w:rtl/>
        </w:rPr>
        <w:t>מצוי</w:t>
      </w:r>
      <w:r>
        <w:rPr>
          <w:rFonts w:hint="cs"/>
        </w:rPr>
        <w:t xml:space="preserve"> </w:t>
      </w:r>
      <w:r>
        <w:rPr>
          <w:rFonts w:hint="cs"/>
          <w:rtl/>
        </w:rPr>
        <w:t>במאגרים</w:t>
      </w:r>
      <w:r>
        <w:rPr>
          <w:rFonts w:hint="cs"/>
        </w:rPr>
        <w:t xml:space="preserve"> </w:t>
      </w:r>
      <w:r>
        <w:rPr>
          <w:rFonts w:hint="cs"/>
          <w:rtl/>
        </w:rPr>
        <w:t>משפטיים, 18.6.23)].</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ואם יאמרו בעלי הדין כי לא הייתה אפשרות, במיוחד בבית המשפט לענייני משפחה, לגבש מסמך אחוד מטעם כלל בעלי הדין נוכח אופי הסכסוך, מבלי להידרש לשאלה היסודית והיא האם אמנם לא ניתן להודיע לבית המשפט במסמך אחוד על מה הצדדים לא מסכימים, הרי שמחוקק המשנה צפה מראש אפשרות זו והתיר  לבעלי הדין אפשרות להגיש דיווח </w:t>
      </w:r>
      <w:r>
        <w:rPr>
          <w:rFonts w:hint="cs"/>
          <w:b/>
          <w:bCs/>
          <w:rtl/>
        </w:rPr>
        <w:t>נפרד</w:t>
      </w:r>
      <w:r>
        <w:rPr>
          <w:rFonts w:hint="cs"/>
          <w:rtl/>
        </w:rPr>
        <w:t xml:space="preserve"> על פי הסיפא לתקנה 36 לתקנות סדר הדין האזרחי.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אכן, במיוחד בבית המשפט לענייני משפחה הנטייה היא לנסות ולסייע לצדדים לפתור את המחלוקות באופן הוליסטי, ואין הכרח שבית המשפט ייצמד להוראות דיוניות דווקא. אלא שמצאתי לנכון </w:t>
      </w:r>
      <w:r>
        <w:rPr>
          <w:rFonts w:hint="cs"/>
          <w:rtl/>
        </w:rPr>
        <w:lastRenderedPageBreak/>
        <w:t xml:space="preserve">להדגיש את מכלול האמור לעיל כדי להזכיר לצדדים מושכלות יסוד שעדיין רלוונטיות לימינו אנו,  לפיהן לכללי הדיון -  במיוחד בעניינים רכושיים - יש תכלית, ותכלית זו בראש ובראשונה נועדה לסייע לא רק לבית המשפט כי אם גם </w:t>
      </w:r>
      <w:r>
        <w:rPr>
          <w:rFonts w:hint="cs"/>
          <w:b/>
          <w:bCs/>
          <w:rtl/>
        </w:rPr>
        <w:t>לצדדים עצמם</w:t>
      </w:r>
      <w:r>
        <w:rPr>
          <w:rFonts w:hint="cs"/>
          <w:rtl/>
        </w:rPr>
        <w:t xml:space="preserve"> לנהל את המחלוקת שביניהם באופן יעיל ומושכל ככל שניתן (השוו: ע"א 103171 </w:t>
      </w:r>
      <w:r>
        <w:rPr>
          <w:rFonts w:hint="cs"/>
          <w:b/>
          <w:bCs/>
          <w:rtl/>
        </w:rPr>
        <w:t>נורדיה נ' בכר,</w:t>
      </w:r>
      <w:r>
        <w:rPr>
          <w:rFonts w:hint="cs"/>
          <w:rtl/>
        </w:rPr>
        <w:t xml:space="preserve"> כו  (1), 320).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תקנה 38 </w:t>
      </w:r>
      <w:r>
        <w:rPr>
          <w:rFonts w:hint="cs"/>
          <w:b/>
          <w:bCs/>
          <w:rtl/>
        </w:rPr>
        <w:t>לתקנות סדר הדין האזרחי</w:t>
      </w:r>
      <w:r>
        <w:rPr>
          <w:rFonts w:hint="cs"/>
          <w:rtl/>
        </w:rPr>
        <w:t>, מאפשרת לבית המשפט להורות לצדדים לתקן את מחדליהם לרבות בעריכת דיון מקדמי חדש ואגב כך בין היתר להתלות את ההליך עד לקיומה.</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זהו בדיוק המקרה  שלאחר עיון בכתבי הטענות,  אני מוצא שיש מקום </w:t>
      </w:r>
      <w:r>
        <w:rPr>
          <w:rFonts w:hint="cs"/>
          <w:b/>
          <w:bCs/>
          <w:rtl/>
        </w:rPr>
        <w:t>שלא</w:t>
      </w:r>
      <w:r>
        <w:rPr>
          <w:rFonts w:hint="cs"/>
          <w:rtl/>
        </w:rPr>
        <w:t xml:space="preserve"> לעשות שימוש בהוראות אלה וזאת על מנת למנוע סרבול מיותר של ההליך ומתוך התחשבות גם באינטרס הציבורי וגם באינטרסים של בעלי הדין. שכן כתב התביעה כנוסחו עתה איננו מאפשר דיון ענייני ויעיל בטענותיה של התובעת, וזאת גם לו אניח שמלוא האמור בכתב התביעה אמת.</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אכן אם הצדדים  היו מנהלים דיון מקדמי כהלכתו, ייתכן וסוגיות אלה שבמהותן בעיקר דיוניות היו נפתרות באותו מעמד או לכל הפחות יכולים היו הצדדים להאיר את עיני בית המשפט מבעוד מועד, חלף עמידה על טענות אלה אך לקראת הדיון ובמהלכו.</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b/>
          <w:bCs/>
          <w:rtl/>
        </w:rPr>
        <w:t>ראשית</w:t>
      </w:r>
      <w:r>
        <w:rPr>
          <w:rFonts w:hint="cs"/>
          <w:rtl/>
        </w:rPr>
        <w:t>, עסקינן בתובענה שהסעד העיקרי שלה הוא ביטול הסכם שאושר וקיבל תוקף שיפוטי על ידי מותב קודם בבית המשפט לענייני משפחה בקרית גת ביום 29.5.22. אלא שלאותו הסכם שנכרת ואושר היו שבעה צדדים, ואילו במסגרת התובענה שלפניי  נתבע רק צד אחד להסכם.</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גם אם טוענת התובעת אך ורק כנגד חלקים  מסוימים מההסכם אשר לשיטתה נוגעים אך ורק לנתבע הספציפי; וגם לו אניח כי היא עותרת לביטולו החלקי בלבד במארג היחסים בינה לבין הנתבע הספציפי, הרי שמושכלות יסוד נוספות במשפט הישראלי היא שיש לאפשר זכות טיעון לכל מי שעלול להיפגע או שעניינו עלול להיות מושפע מסעד שיינתן.</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ההנחה הטרומית כי להליך כפי שנתחם לפניי לא צפויה או לא יכולה להיות השלכה על צד אחר להסכם שלא ניתנה לו הזכות לטעון, לא זו שאיננה נטולת ספקות אלא שלמעשה מבטלת דה פקטו את האפשרות למתן זכות טיעון  האמורה לעיל. </w:t>
      </w:r>
      <w:r>
        <w:rPr>
          <w:rFonts w:hint="cs"/>
          <w:b/>
          <w:bCs/>
          <w:u w:val="single"/>
          <w:rtl/>
        </w:rPr>
        <w:t xml:space="preserve">כשם שאין חקר לתבונת סניגור מוכשר לא ניתן להניח מראש כל טענה פוטנציאלית של מי שלא ניתנה לו האפשרות לטעון </w:t>
      </w:r>
      <w:r>
        <w:rPr>
          <w:rFonts w:hint="cs"/>
          <w:rtl/>
        </w:rPr>
        <w:t xml:space="preserve">ובמובן זה נפל פגם בנוסח כתב התביעה שלכל הפחות  מצריך תיקונו (השוו: ע"פ 35/50 </w:t>
      </w:r>
      <w:r>
        <w:rPr>
          <w:rFonts w:hint="cs"/>
          <w:b/>
          <w:bCs/>
          <w:rtl/>
        </w:rPr>
        <w:t xml:space="preserve">מלכה נ' היועמ"ש </w:t>
      </w:r>
      <w:r>
        <w:rPr>
          <w:rFonts w:hint="cs"/>
          <w:rtl/>
        </w:rPr>
        <w:t>,פד"י ד, 429) .</w:t>
      </w:r>
    </w:p>
    <w:p w:rsidR="00384636" w:rsidRDefault="00384636" w:rsidP="00B229BB">
      <w:pPr>
        <w:spacing w:line="360" w:lineRule="auto"/>
        <w:jc w:val="both"/>
        <w:rPr>
          <w:b/>
          <w:bCs/>
          <w:u w:val="single"/>
          <w:rtl/>
        </w:rPr>
      </w:pPr>
    </w:p>
    <w:p w:rsidR="00384636" w:rsidRDefault="00384636" w:rsidP="00B229BB">
      <w:pPr>
        <w:spacing w:line="360" w:lineRule="auto"/>
        <w:jc w:val="both"/>
        <w:rPr>
          <w:rtl/>
        </w:rPr>
      </w:pPr>
      <w:r>
        <w:rPr>
          <w:rFonts w:hint="cs"/>
          <w:b/>
          <w:bCs/>
          <w:rtl/>
        </w:rPr>
        <w:lastRenderedPageBreak/>
        <w:t>שנית,</w:t>
      </w:r>
      <w:r>
        <w:rPr>
          <w:rFonts w:hint="cs"/>
          <w:rtl/>
        </w:rPr>
        <w:t xml:space="preserve"> כאשר מעיינים בעילות הנטענות בכתב התביעה מגלים שתי מערכות עובדתיות שלכאורה אינן יכולות לדור בכפיפה אחת.  </w:t>
      </w:r>
      <w:r>
        <w:rPr>
          <w:rFonts w:hint="cs"/>
          <w:b/>
          <w:bCs/>
          <w:rtl/>
        </w:rPr>
        <w:t>האחת</w:t>
      </w:r>
      <w:r>
        <w:rPr>
          <w:rFonts w:hint="cs"/>
          <w:rtl/>
        </w:rPr>
        <w:t xml:space="preserve">, הטענה היסודית בדבר </w:t>
      </w:r>
      <w:r>
        <w:rPr>
          <w:rFonts w:hint="cs"/>
          <w:u w:val="single"/>
          <w:rtl/>
        </w:rPr>
        <w:t>פגמים ברצונה</w:t>
      </w:r>
      <w:r>
        <w:rPr>
          <w:rFonts w:hint="cs"/>
          <w:rtl/>
        </w:rPr>
        <w:t xml:space="preserve"> של התובעת אשר נבעו  בין היתר מהתנהלות כזו או אחרת של הנתבע שלפניי ו/או מאן דהוא. </w:t>
      </w:r>
      <w:r>
        <w:rPr>
          <w:rFonts w:hint="cs"/>
          <w:b/>
          <w:bCs/>
          <w:rtl/>
        </w:rPr>
        <w:t>השנייה</w:t>
      </w:r>
      <w:r>
        <w:rPr>
          <w:rFonts w:hint="cs"/>
          <w:rtl/>
        </w:rPr>
        <w:t xml:space="preserve">, טענה לפיה הנתבע </w:t>
      </w:r>
      <w:r>
        <w:rPr>
          <w:rFonts w:hint="cs"/>
          <w:u w:val="single"/>
          <w:rtl/>
        </w:rPr>
        <w:t>הפר</w:t>
      </w:r>
      <w:r>
        <w:rPr>
          <w:rFonts w:hint="cs"/>
          <w:rtl/>
        </w:rPr>
        <w:t xml:space="preserve"> את ההסכם.  אלא שנקודות המוצא העובדתיות והמשפטיות  שבבסיס שני ראשי טענות אלה, לבטח כפי שנוסחה בכתב התביעה, איננה בהכרח יכולה לדור בכפיפה אחת, זאת גם אם הסעד שבחרה התובעת לעתור לו  - ביטול ההסכם – הוא סעד דומה.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טענות לבטלות מחמת פגם ברצון, הן טענות שבבסיסן מסד עובדתי שבעיקרו רלוונטי לשלבים טרם כריתת הסכם וביסודן הטענה שלמעשה </w:t>
      </w:r>
      <w:r>
        <w:rPr>
          <w:rFonts w:hint="cs"/>
          <w:b/>
          <w:bCs/>
          <w:rtl/>
        </w:rPr>
        <w:t>אין תוקף להסכם</w:t>
      </w:r>
      <w:r>
        <w:rPr>
          <w:rFonts w:hint="cs"/>
          <w:rtl/>
        </w:rPr>
        <w:t xml:space="preserve"> לאור עילות  שונות, הנקובות  בין היתר בהוראות חוק החוזים (חלק כללי) התשל"ג- 1973 או למשל טענת האפסות.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טענות לבטלות הסכם מחמת הפרתו,  הן טענות המתייחסות לשאלה האם ובאיזו דרך </w:t>
      </w:r>
      <w:r>
        <w:rPr>
          <w:rFonts w:hint="cs"/>
          <w:b/>
          <w:bCs/>
          <w:rtl/>
        </w:rPr>
        <w:t>בוצע</w:t>
      </w:r>
      <w:r>
        <w:rPr>
          <w:rFonts w:hint="cs"/>
          <w:rtl/>
        </w:rPr>
        <w:t xml:space="preserve"> ההסכם התקף, </w:t>
      </w:r>
      <w:r>
        <w:rPr>
          <w:rFonts w:hint="cs"/>
          <w:u w:val="single"/>
          <w:rtl/>
        </w:rPr>
        <w:t>ואינן תוקפות</w:t>
      </w:r>
      <w:r>
        <w:rPr>
          <w:rFonts w:hint="cs"/>
          <w:rtl/>
        </w:rPr>
        <w:t xml:space="preserve"> את תוקף ההסכם עצמו.  </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לכל הפחות במקרה שלפניי שני ראשי טענות אלה שככלל יכול וקיים כשל לוגי בהעלאתן ההדדית על בסיס מערכת עובדתית אחת כפי שהיא נכתבה ופורטה בכתב התביעה, שימשו בערבוביה בכתב התביעה ואינם מאפשרים להידרש להם או למצער אינן מאפשרים לנתבע או לנתבעים פוטנציאליים להתגונן כראוי מפניהם.</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גם במובן זה הרי ככל שבית המשפט ימשיך וידון בכתב התביעה כפי שנוסח עתה, לא רק צפויה הכברה שלא לצורך על תשומות שיפוט ואינטרס ציבורי כולל, אלא  שדומה שגם לתובעת עצמה ספק אם תצמח תועלת מניהולו של ההליך. זאת הן בדמות חשיפתה האפשרית לטענות של מי שכלל לא נתבע על ידה ביחס לתוקף הכרעה שיפוטית במקרה שכזה והן בהתחשב באפשרות שלאור תיחום טענותיה יכול ובסופו של הליך שכרה יצא בהפסדה גם לו יינתן משקל מלא לטענותיה (וכמובן שבשלב זה אינני נדרש כל עיקר לקביעת ממצאי עובדה או מהימנות).</w:t>
      </w:r>
    </w:p>
    <w:p w:rsidR="00384636" w:rsidRDefault="00384636" w:rsidP="00B229BB">
      <w:pPr>
        <w:spacing w:line="360" w:lineRule="auto"/>
        <w:jc w:val="both"/>
        <w:rPr>
          <w:rtl/>
        </w:rPr>
      </w:pPr>
    </w:p>
    <w:p w:rsidR="00384636" w:rsidRDefault="00384636" w:rsidP="00B229BB">
      <w:pPr>
        <w:spacing w:line="360" w:lineRule="auto"/>
        <w:jc w:val="both"/>
        <w:rPr>
          <w:rtl/>
        </w:rPr>
      </w:pPr>
      <w:r>
        <w:rPr>
          <w:rFonts w:hint="cs"/>
          <w:rtl/>
        </w:rPr>
        <w:t xml:space="preserve">כפועל יוצא ודווקא על מנת שלא להכביר על הצדדים תשומות מיותרות, אני מוצא בשלב זה </w:t>
      </w:r>
      <w:r>
        <w:rPr>
          <w:rFonts w:hint="cs"/>
          <w:u w:val="single"/>
          <w:rtl/>
        </w:rPr>
        <w:t>לא</w:t>
      </w:r>
      <w:r>
        <w:rPr>
          <w:rFonts w:hint="cs"/>
          <w:rtl/>
        </w:rPr>
        <w:t xml:space="preserve"> להורות לתובעת ולנתבע  לרפא את מחדליהם הדיוניים שפורטו לעיל, כי אם מוצא להורות כדלקמן:</w:t>
      </w:r>
    </w:p>
    <w:p w:rsidR="00B229BB" w:rsidRDefault="00B229BB" w:rsidP="00B229BB">
      <w:pPr>
        <w:spacing w:line="360" w:lineRule="auto"/>
        <w:jc w:val="both"/>
        <w:rPr>
          <w:rtl/>
        </w:rPr>
      </w:pPr>
    </w:p>
    <w:p w:rsidR="00384636" w:rsidRDefault="00384636" w:rsidP="00B229BB">
      <w:pPr>
        <w:spacing w:line="360" w:lineRule="auto"/>
        <w:ind w:left="720" w:hanging="720"/>
        <w:jc w:val="both"/>
        <w:rPr>
          <w:rtl/>
        </w:rPr>
      </w:pPr>
      <w:r>
        <w:rPr>
          <w:rFonts w:hint="cs"/>
          <w:rtl/>
        </w:rPr>
        <w:t>א.</w:t>
      </w:r>
      <w:r>
        <w:rPr>
          <w:rFonts w:hint="cs"/>
          <w:rtl/>
        </w:rPr>
        <w:tab/>
        <w:t xml:space="preserve">התובעת תגיש תוך 30 יום  בקשה אופרטיבית לתיקון כתב התביעה כהבנתה, לאור הסוגיות שעלו לעיל.  מובהר מראש כי ככל שנתקף הסכם יש לצרף את כלל הצדדים לו. </w:t>
      </w:r>
    </w:p>
    <w:p w:rsidR="00384636" w:rsidRDefault="00384636" w:rsidP="00B229BB">
      <w:pPr>
        <w:spacing w:line="360" w:lineRule="auto"/>
        <w:ind w:firstLine="720"/>
        <w:jc w:val="both"/>
        <w:rPr>
          <w:rtl/>
        </w:rPr>
      </w:pPr>
      <w:r>
        <w:rPr>
          <w:rFonts w:hint="cs"/>
          <w:rtl/>
        </w:rPr>
        <w:t xml:space="preserve"> ככל שתעשה זאת התובעת, תועבר הבקשה לתגובה.</w:t>
      </w:r>
    </w:p>
    <w:p w:rsidR="00384636" w:rsidRDefault="00384636" w:rsidP="00B229BB">
      <w:pPr>
        <w:spacing w:line="360" w:lineRule="auto"/>
        <w:jc w:val="both"/>
        <w:rPr>
          <w:rtl/>
        </w:rPr>
      </w:pPr>
      <w:r>
        <w:rPr>
          <w:rFonts w:hint="cs"/>
          <w:rtl/>
        </w:rPr>
        <w:lastRenderedPageBreak/>
        <w:t>ב.</w:t>
      </w:r>
      <w:r>
        <w:rPr>
          <w:rFonts w:hint="cs"/>
          <w:rtl/>
        </w:rPr>
        <w:tab/>
        <w:t xml:space="preserve"> היה ולא תוגש בקשה שכזו, בחלוף המועד שנקצב אורה על מחיקת התובענה.</w:t>
      </w:r>
    </w:p>
    <w:p w:rsidR="00384636" w:rsidRDefault="00384636" w:rsidP="00B229BB">
      <w:pPr>
        <w:spacing w:line="360" w:lineRule="auto"/>
        <w:jc w:val="both"/>
        <w:rPr>
          <w:rtl/>
        </w:rPr>
      </w:pPr>
      <w:r>
        <w:rPr>
          <w:rFonts w:hint="cs"/>
          <w:rtl/>
        </w:rPr>
        <w:t>ג.</w:t>
      </w:r>
      <w:r>
        <w:rPr>
          <w:rFonts w:hint="cs"/>
          <w:rtl/>
        </w:rPr>
        <w:tab/>
        <w:t xml:space="preserve">החלטה זו מותרת לפרסום בהשמטת מלוא פרטיהם המזהים של הצדדים ובני משפחתם. </w:t>
      </w:r>
    </w:p>
    <w:p w:rsidR="00384636" w:rsidRPr="00B229BB" w:rsidRDefault="00384636" w:rsidP="00B229BB">
      <w:pPr>
        <w:spacing w:line="360" w:lineRule="auto"/>
        <w:jc w:val="both"/>
        <w:rPr>
          <w:rtl/>
        </w:rPr>
      </w:pPr>
      <w:r>
        <w:rPr>
          <w:rFonts w:hint="cs"/>
          <w:rtl/>
        </w:rPr>
        <w:t>ד.</w:t>
      </w:r>
      <w:r>
        <w:rPr>
          <w:rFonts w:hint="cs"/>
          <w:rtl/>
        </w:rPr>
        <w:tab/>
        <w:t xml:space="preserve"> תזכורת מזכירות בחלוף המועד שנקצב.</w:t>
      </w:r>
    </w:p>
    <w:p w:rsidR="00384636" w:rsidRDefault="00384636" w:rsidP="00E774C4">
      <w:pPr>
        <w:spacing w:line="360" w:lineRule="auto"/>
        <w:rPr>
          <w:rtl/>
        </w:rPr>
      </w:pPr>
      <w:r>
        <w:rPr>
          <w:rFonts w:hint="cs"/>
          <w:b/>
          <w:bCs/>
          <w:rtl/>
        </w:rPr>
        <w:t xml:space="preserve">ניתנה והודעה היום </w:t>
      </w:r>
      <w:sdt>
        <w:sdtPr>
          <w:rPr>
            <w:rFonts w:hint="cs"/>
            <w:rtl/>
          </w:rPr>
          <w:alias w:val="2207"/>
          <w:tag w:val="2207"/>
          <w:id w:val="1194738187"/>
          <w:text w:multiLine="1"/>
        </w:sdtPr>
        <w:sdtEndPr/>
        <w:sdtContent>
          <w:r>
            <w:rPr>
              <w:rFonts w:hint="cs"/>
              <w:b/>
              <w:bCs/>
              <w:rtl/>
            </w:rPr>
            <w:t>כ"ז אייר תשפ"ד</w:t>
          </w:r>
        </w:sdtContent>
      </w:sdt>
      <w:r>
        <w:rPr>
          <w:rFonts w:hint="cs"/>
          <w:b/>
          <w:bCs/>
          <w:rtl/>
        </w:rPr>
        <w:t xml:space="preserve">, </w:t>
      </w:r>
      <w:sdt>
        <w:sdtPr>
          <w:rPr>
            <w:rFonts w:hint="cs"/>
            <w:rtl/>
          </w:rPr>
          <w:alias w:val="2206"/>
          <w:tag w:val="2206"/>
          <w:id w:val="-304076930"/>
          <w:text w:multiLine="1"/>
        </w:sdtPr>
        <w:sdtEndPr/>
        <w:sdtContent>
          <w:r>
            <w:rPr>
              <w:rFonts w:hint="cs"/>
              <w:b/>
              <w:bCs/>
            </w:rPr>
            <w:t>04/06/2024</w:t>
          </w:r>
        </w:sdtContent>
      </w:sdt>
      <w:r>
        <w:rPr>
          <w:rFonts w:hint="cs"/>
          <w:b/>
          <w:bCs/>
          <w:rtl/>
        </w:rPr>
        <w:t xml:space="preserve"> במעמד הנוכחים.</w:t>
      </w:r>
    </w:p>
    <w:p w:rsidR="00384636" w:rsidRDefault="00384636" w:rsidP="00E774C4">
      <w:pPr>
        <w:spacing w:line="360" w:lineRule="auto"/>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84636" w:rsidTr="00384636">
        <w:trPr>
          <w:trHeight w:val="316"/>
        </w:trPr>
        <w:tc>
          <w:tcPr>
            <w:tcW w:w="3936" w:type="dxa"/>
            <w:tcBorders>
              <w:top w:val="nil"/>
              <w:left w:val="nil"/>
              <w:bottom w:val="single" w:sz="4" w:space="0" w:color="auto"/>
              <w:right w:val="nil"/>
            </w:tcBorders>
            <w:vAlign w:val="center"/>
          </w:tcPr>
          <w:p w:rsidR="00384636" w:rsidRDefault="009C2C4E" w:rsidP="00E774C4">
            <w:pPr>
              <w:spacing w:line="360" w:lineRule="auto"/>
              <w:jc w:val="center"/>
              <w:rPr>
                <w:rtl/>
              </w:rPr>
            </w:pPr>
            <w:sdt>
              <w:sdtPr>
                <w:rPr>
                  <w:rFonts w:cs="Times New Roman"/>
                  <w:rtl/>
                </w:rPr>
                <w:alias w:val="MergeField"/>
                <w:tag w:val="2144"/>
                <w:id w:val="271451814"/>
              </w:sdtPr>
              <w:sdtEndPr/>
              <w:sdtContent>
                <w:r w:rsidR="00384636">
                  <w:drawing>
                    <wp:inline distT="0" distB="0" distL="0" distR="0">
                      <wp:extent cx="361950" cy="3048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sdtContent>
            </w:sdt>
          </w:p>
          <w:p w:rsidR="00384636" w:rsidRDefault="00384636" w:rsidP="00E774C4">
            <w:pPr>
              <w:spacing w:line="360" w:lineRule="auto"/>
              <w:jc w:val="center"/>
            </w:pPr>
          </w:p>
        </w:tc>
      </w:tr>
      <w:tr w:rsidR="00384636" w:rsidTr="00384636">
        <w:trPr>
          <w:trHeight w:val="361"/>
        </w:trPr>
        <w:tc>
          <w:tcPr>
            <w:tcW w:w="3936" w:type="dxa"/>
            <w:tcBorders>
              <w:top w:val="single" w:sz="4" w:space="0" w:color="auto"/>
              <w:left w:val="nil"/>
              <w:bottom w:val="nil"/>
              <w:right w:val="nil"/>
            </w:tcBorders>
            <w:vAlign w:val="center"/>
            <w:hideMark/>
          </w:tcPr>
          <w:p w:rsidR="00384636" w:rsidRDefault="009C2C4E" w:rsidP="00E774C4">
            <w:pPr>
              <w:spacing w:line="360" w:lineRule="auto"/>
              <w:jc w:val="center"/>
              <w:rPr>
                <w:b/>
                <w:bCs/>
                <w:rtl/>
              </w:rPr>
            </w:pPr>
            <w:sdt>
              <w:sdtPr>
                <w:rPr>
                  <w:b/>
                  <w:bCs/>
                  <w:rtl/>
                </w:rPr>
                <w:alias w:val="2141"/>
                <w:tag w:val="2141"/>
                <w:id w:val="1860233640"/>
                <w:placeholder>
                  <w:docPart w:val="FCDB6B22B8BA4C7B854F7BAC7BCB8FCD"/>
                </w:placeholder>
                <w:text w:multiLine="1"/>
              </w:sdtPr>
              <w:sdtEndPr/>
              <w:sdtContent>
                <w:r w:rsidR="00384636">
                  <w:rPr>
                    <w:b/>
                    <w:bCs/>
                    <w:rtl/>
                  </w:rPr>
                  <w:t>בן</w:t>
                </w:r>
              </w:sdtContent>
            </w:sdt>
            <w:r w:rsidR="00384636">
              <w:rPr>
                <w:rFonts w:hint="cs"/>
                <w:b/>
                <w:bCs/>
                <w:rtl/>
              </w:rPr>
              <w:t xml:space="preserve"> </w:t>
            </w:r>
            <w:sdt>
              <w:sdtPr>
                <w:rPr>
                  <w:rFonts w:cs="Times New Roman"/>
                  <w:b/>
                  <w:bCs/>
                  <w:rtl/>
                </w:rPr>
                <w:alias w:val="2142"/>
                <w:tag w:val="2142"/>
                <w:id w:val="861561109"/>
                <w:placeholder>
                  <w:docPart w:val="95914DCEC9A043C0A904C983AB5715BE"/>
                </w:placeholder>
                <w:text w:multiLine="1"/>
              </w:sdtPr>
              <w:sdtEndPr/>
              <w:sdtContent>
                <w:r w:rsidR="00384636">
                  <w:rPr>
                    <w:b/>
                    <w:bCs/>
                    <w:rtl/>
                  </w:rPr>
                  <w:t>שלו</w:t>
                </w:r>
              </w:sdtContent>
            </w:sdt>
            <w:r w:rsidR="00384636">
              <w:rPr>
                <w:rFonts w:hint="cs"/>
                <w:b/>
                <w:bCs/>
                <w:rtl/>
              </w:rPr>
              <w:t xml:space="preserve">, </w:t>
            </w:r>
            <w:sdt>
              <w:sdtPr>
                <w:rPr>
                  <w:rFonts w:cs="Times New Roman"/>
                  <w:b/>
                  <w:bCs/>
                  <w:rtl/>
                </w:rPr>
                <w:alias w:val="2143"/>
                <w:tag w:val="2143"/>
                <w:id w:val="-1059016428"/>
                <w:placeholder>
                  <w:docPart w:val="7F199CEA268B447280F1EE56BC3A909A"/>
                </w:placeholder>
                <w:text w:multiLine="1"/>
              </w:sdtPr>
              <w:sdtEndPr/>
              <w:sdtContent>
                <w:r w:rsidR="00384636">
                  <w:rPr>
                    <w:b/>
                    <w:bCs/>
                    <w:rtl/>
                  </w:rPr>
                  <w:t>שופט</w:t>
                </w:r>
              </w:sdtContent>
            </w:sdt>
          </w:p>
        </w:tc>
      </w:tr>
    </w:tbl>
    <w:p w:rsidR="00CB1E7A" w:rsidRPr="00F43693" w:rsidRDefault="00384636" w:rsidP="00B229BB">
      <w:pPr>
        <w:spacing w:line="360" w:lineRule="auto"/>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לילך</w:t>
      </w:r>
      <w:r>
        <w:rPr>
          <w:rFonts w:hint="cs"/>
        </w:rPr>
        <w:t xml:space="preserve"> </w:t>
      </w:r>
      <w:r>
        <w:rPr>
          <w:rFonts w:hint="cs"/>
          <w:rtl/>
        </w:rPr>
        <w:t>קסטו</w:t>
      </w:r>
    </w:p>
    <w:sectPr w:rsidR="00CB1E7A" w:rsidRPr="00F43693"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C4E" w:rsidRDefault="009C2C4E" w:rsidP="00A30504">
      <w:r>
        <w:separator/>
      </w:r>
    </w:p>
  </w:endnote>
  <w:endnote w:type="continuationSeparator" w:id="0">
    <w:p w:rsidR="009C2C4E" w:rsidRDefault="009C2C4E"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1E2" w:rsidRDefault="007E01E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7E01E2">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7E01E2">
      <w:rPr>
        <w:rStyle w:val="a8"/>
        <w:rtl/>
      </w:rPr>
      <w:t>5</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1E2" w:rsidRDefault="007E01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C4E" w:rsidRDefault="009C2C4E" w:rsidP="00A30504">
      <w:r>
        <w:separator/>
      </w:r>
    </w:p>
  </w:footnote>
  <w:footnote w:type="continuationSeparator" w:id="0">
    <w:p w:rsidR="009C2C4E" w:rsidRDefault="009C2C4E"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1E2" w:rsidRDefault="007E01E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C425DC" w:rsidTr="00C425DC">
      <w:trPr>
        <w:trHeight w:val="709"/>
        <w:jc w:val="center"/>
      </w:trPr>
      <w:tc>
        <w:tcPr>
          <w:tcW w:w="5528" w:type="dxa"/>
          <w:hideMark/>
        </w:tcPr>
        <w:p w:rsidR="00C425DC" w:rsidRDefault="009C2C4E" w:rsidP="00C425DC">
          <w:pPr>
            <w:rPr>
              <w:b/>
              <w:bCs/>
              <w:noProof w:val="0"/>
              <w:sz w:val="28"/>
              <w:szCs w:val="28"/>
              <w:u w:val="single"/>
            </w:rPr>
          </w:pPr>
          <w:sdt>
            <w:sdtPr>
              <w:rPr>
                <w:rFonts w:hint="cs"/>
                <w:b/>
                <w:bCs/>
                <w:sz w:val="28"/>
                <w:szCs w:val="28"/>
                <w:rtl/>
              </w:rPr>
              <w:alias w:val="849"/>
              <w:tag w:val="849"/>
              <w:id w:val="2112930230"/>
              <w:placeholder>
                <w:docPart w:val="FFB2FA197836410DB71B0D47C6845512"/>
              </w:placeholder>
              <w:text w:multiLine="1"/>
            </w:sdtPr>
            <w:sdtEndPr/>
            <w:sdtContent>
              <w:r w:rsidR="00C425DC">
                <w:rPr>
                  <w:rFonts w:hint="cs"/>
                  <w:b/>
                  <w:bCs/>
                  <w:sz w:val="28"/>
                  <w:szCs w:val="28"/>
                  <w:rtl/>
                </w:rPr>
                <w:t>תה"ס</w:t>
              </w:r>
            </w:sdtContent>
          </w:sdt>
          <w:r w:rsidR="00C425DC">
            <w:rPr>
              <w:rFonts w:hint="cs"/>
              <w:b/>
              <w:bCs/>
              <w:sz w:val="28"/>
              <w:szCs w:val="28"/>
              <w:rtl/>
            </w:rPr>
            <w:t xml:space="preserve"> </w:t>
          </w:r>
          <w:bookmarkStart w:id="0" w:name="_GoBack"/>
          <w:sdt>
            <w:sdtPr>
              <w:rPr>
                <w:rFonts w:hint="cs"/>
                <w:b/>
                <w:bCs/>
                <w:sz w:val="28"/>
                <w:szCs w:val="28"/>
                <w:rtl/>
              </w:rPr>
              <w:alias w:val="158"/>
              <w:tag w:val="158"/>
              <w:id w:val="-567337356"/>
              <w:placeholder>
                <w:docPart w:val="71691925EDD04F1A9C614BE1EB04FA95"/>
              </w:placeholder>
              <w:text w:multiLine="1"/>
            </w:sdtPr>
            <w:sdtEndPr/>
            <w:sdtContent>
              <w:r w:rsidR="00C425DC">
                <w:rPr>
                  <w:rFonts w:hint="cs"/>
                  <w:b/>
                  <w:bCs/>
                  <w:sz w:val="28"/>
                  <w:szCs w:val="28"/>
                  <w:rtl/>
                </w:rPr>
                <w:t>20376-05-23</w:t>
              </w:r>
            </w:sdtContent>
          </w:sdt>
          <w:bookmarkEnd w:id="0"/>
          <w:r w:rsidR="00C425DC">
            <w:rPr>
              <w:rFonts w:hint="cs"/>
              <w:b/>
              <w:bCs/>
              <w:sz w:val="28"/>
              <w:szCs w:val="28"/>
              <w:rtl/>
            </w:rPr>
            <w:t xml:space="preserve"> </w:t>
          </w:r>
          <w:sdt>
            <w:sdtPr>
              <w:rPr>
                <w:rFonts w:hint="cs"/>
                <w:b/>
                <w:bCs/>
                <w:sz w:val="28"/>
                <w:szCs w:val="28"/>
                <w:rtl/>
              </w:rPr>
              <w:alias w:val="293"/>
              <w:tag w:val="293"/>
              <w:id w:val="-1315721415"/>
              <w:placeholder>
                <w:docPart w:val="508D34D1328F4EDCB6DC748E86512DC6"/>
              </w:placeholder>
              <w:text w:multiLine="1"/>
            </w:sdtPr>
            <w:sdtEndPr/>
            <w:sdtContent>
              <w:r w:rsidR="00C425DC">
                <w:rPr>
                  <w:rFonts w:hint="cs"/>
                  <w:b/>
                  <w:bCs/>
                  <w:sz w:val="28"/>
                  <w:szCs w:val="28"/>
                  <w:rtl/>
                </w:rPr>
                <w:t>ל' נ' ל'</w:t>
              </w:r>
            </w:sdtContent>
          </w:sdt>
          <w:r w:rsidR="00C425DC">
            <w:rPr>
              <w:rFonts w:hint="cs"/>
              <w:b/>
              <w:bCs/>
              <w:sz w:val="28"/>
              <w:szCs w:val="28"/>
              <w:rtl/>
            </w:rPr>
            <w:t xml:space="preserve">  </w:t>
          </w:r>
        </w:p>
      </w:tc>
      <w:tc>
        <w:tcPr>
          <w:tcW w:w="283" w:type="dxa"/>
          <w:vMerge w:val="restart"/>
        </w:tcPr>
        <w:p w:rsidR="00C425DC" w:rsidRDefault="00C425DC" w:rsidP="00C425DC">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32C004F018CF4237A3A74F939C6A57BB"/>
            </w:placeholder>
            <w:text w:multiLine="1"/>
          </w:sdtPr>
          <w:sdtEndPr/>
          <w:sdtContent>
            <w:p w:rsidR="00C425DC" w:rsidRDefault="00C425DC" w:rsidP="00C425DC">
              <w:pPr>
                <w:pStyle w:val="a3"/>
                <w:tabs>
                  <w:tab w:val="clear" w:pos="4153"/>
                </w:tabs>
                <w:jc w:val="right"/>
                <w:rPr>
                  <w:b/>
                  <w:bCs/>
                  <w:sz w:val="28"/>
                  <w:szCs w:val="28"/>
                  <w:rtl/>
                </w:rPr>
              </w:pPr>
              <w:r>
                <w:rPr>
                  <w:rFonts w:hint="cs"/>
                  <w:b/>
                  <w:bCs/>
                  <w:sz w:val="28"/>
                  <w:szCs w:val="28"/>
                  <w:rtl/>
                </w:rPr>
                <w:t>04 יוני 2024</w:t>
              </w:r>
            </w:p>
          </w:sdtContent>
        </w:sdt>
      </w:tc>
    </w:tr>
    <w:tr w:rsidR="00C425DC" w:rsidTr="00C425DC">
      <w:trPr>
        <w:trHeight w:val="300"/>
        <w:jc w:val="center"/>
      </w:trPr>
      <w:tc>
        <w:tcPr>
          <w:tcW w:w="5528" w:type="dxa"/>
          <w:hideMark/>
        </w:tcPr>
        <w:p w:rsidR="00C425DC" w:rsidRDefault="00C425DC" w:rsidP="00C425DC">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376EBB24DB21426787F3B2ACCFB5DE27"/>
              </w:placeholder>
              <w:text w:multiLine="1"/>
            </w:sdtPr>
            <w:sdtEndPr/>
            <w:sdtContent>
              <w:r>
                <w:rPr>
                  <w:rFonts w:hint="cs"/>
                  <w:b/>
                  <w:bCs/>
                  <w:sz w:val="28"/>
                  <w:szCs w:val="28"/>
                  <w:rtl/>
                </w:rPr>
                <w:t>שופט בן שלו</w:t>
              </w:r>
            </w:sdtContent>
          </w:sdt>
        </w:p>
      </w:tc>
      <w:tc>
        <w:tcPr>
          <w:tcW w:w="0" w:type="auto"/>
          <w:vMerge/>
          <w:vAlign w:val="center"/>
          <w:hideMark/>
        </w:tcPr>
        <w:p w:rsidR="00C425DC" w:rsidRDefault="00C425DC" w:rsidP="00C425DC">
          <w:pPr>
            <w:rPr>
              <w:b/>
              <w:bCs/>
              <w:sz w:val="28"/>
              <w:szCs w:val="28"/>
            </w:rPr>
          </w:pPr>
        </w:p>
      </w:tc>
      <w:tc>
        <w:tcPr>
          <w:tcW w:w="0" w:type="auto"/>
          <w:vMerge/>
          <w:vAlign w:val="center"/>
          <w:hideMark/>
        </w:tcPr>
        <w:p w:rsidR="00C425DC" w:rsidRDefault="00C425DC" w:rsidP="00C425DC">
          <w:pPr>
            <w:rPr>
              <w:b/>
              <w:bCs/>
              <w:sz w:val="28"/>
              <w:szCs w:val="28"/>
            </w:rPr>
          </w:pPr>
        </w:p>
      </w:tc>
    </w:tr>
  </w:tbl>
  <w:p w:rsidR="0000787B" w:rsidRPr="00330799" w:rsidRDefault="009C2C4E" w:rsidP="00330799">
    <w:pPr>
      <w:rPr>
        <w:rFonts w:ascii="David" w:hAnsi="David"/>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1E2" w:rsidRDefault="007E01E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56E6B"/>
    <w:rsid w:val="000E6940"/>
    <w:rsid w:val="00112F6C"/>
    <w:rsid w:val="00123396"/>
    <w:rsid w:val="00131BDD"/>
    <w:rsid w:val="001802BB"/>
    <w:rsid w:val="001F032F"/>
    <w:rsid w:val="00204361"/>
    <w:rsid w:val="00310C88"/>
    <w:rsid w:val="00330799"/>
    <w:rsid w:val="00384636"/>
    <w:rsid w:val="00414D88"/>
    <w:rsid w:val="004204FE"/>
    <w:rsid w:val="00487C9F"/>
    <w:rsid w:val="005C7A13"/>
    <w:rsid w:val="00671EB3"/>
    <w:rsid w:val="006A10DE"/>
    <w:rsid w:val="0075045D"/>
    <w:rsid w:val="007E01E2"/>
    <w:rsid w:val="00832ED3"/>
    <w:rsid w:val="009C2C4E"/>
    <w:rsid w:val="00A30504"/>
    <w:rsid w:val="00B229BB"/>
    <w:rsid w:val="00C1241C"/>
    <w:rsid w:val="00C425DC"/>
    <w:rsid w:val="00C827A6"/>
    <w:rsid w:val="00CB1E7A"/>
    <w:rsid w:val="00D23F0A"/>
    <w:rsid w:val="00D62C22"/>
    <w:rsid w:val="00D76B8C"/>
    <w:rsid w:val="00DF1F3E"/>
    <w:rsid w:val="00E44517"/>
    <w:rsid w:val="00E774C4"/>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384636"/>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429637">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860975971">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309099808849A3A56095B5964044E5"/>
        <w:category>
          <w:name w:val="כללי"/>
          <w:gallery w:val="placeholder"/>
        </w:category>
        <w:types>
          <w:type w:val="bbPlcHdr"/>
        </w:types>
        <w:behaviors>
          <w:behavior w:val="content"/>
        </w:behaviors>
        <w:guid w:val="{CB78333A-3773-4796-A88B-4B8F846CE71C}"/>
      </w:docPartPr>
      <w:docPartBody>
        <w:p w:rsidR="008A7CC9" w:rsidRDefault="00D52EEB" w:rsidP="00D52EEB">
          <w:pPr>
            <w:pStyle w:val="23309099808849A3A56095B5964044E5"/>
          </w:pPr>
          <w:r>
            <w:rPr>
              <w:rStyle w:val="a3"/>
              <w:rtl/>
            </w:rPr>
            <w:t>מעמד/כינוי צד א</w:t>
          </w:r>
          <w:r>
            <w:rPr>
              <w:rStyle w:val="a3"/>
            </w:rPr>
            <w:t>'</w:t>
          </w:r>
        </w:p>
      </w:docPartBody>
    </w:docPart>
    <w:docPart>
      <w:docPartPr>
        <w:name w:val="F415FCE96C01490F94F43F1C067FF559"/>
        <w:category>
          <w:name w:val="כללי"/>
          <w:gallery w:val="placeholder"/>
        </w:category>
        <w:types>
          <w:type w:val="bbPlcHdr"/>
        </w:types>
        <w:behaviors>
          <w:behavior w:val="content"/>
        </w:behaviors>
        <w:guid w:val="{467C6730-05B0-4B33-A9F2-463E217373D1}"/>
      </w:docPartPr>
      <w:docPartBody>
        <w:p w:rsidR="008A7CC9" w:rsidRDefault="00D52EEB" w:rsidP="00D52EEB">
          <w:pPr>
            <w:pStyle w:val="F415FCE96C01490F94F43F1C067FF559"/>
          </w:pPr>
          <w:r>
            <w:rPr>
              <w:b/>
              <w:bCs/>
              <w:sz w:val="28"/>
              <w:szCs w:val="28"/>
              <w:rtl/>
            </w:rPr>
            <w:t>סוג זיהוי צד א</w:t>
          </w:r>
        </w:p>
      </w:docPartBody>
    </w:docPart>
    <w:docPart>
      <w:docPartPr>
        <w:name w:val="7A749876403A47DAB956219DAA8E1DCD"/>
        <w:category>
          <w:name w:val="כללי"/>
          <w:gallery w:val="placeholder"/>
        </w:category>
        <w:types>
          <w:type w:val="bbPlcHdr"/>
        </w:types>
        <w:behaviors>
          <w:behavior w:val="content"/>
        </w:behaviors>
        <w:guid w:val="{9A89BC1C-2F59-45F8-89D1-1E10208CC091}"/>
      </w:docPartPr>
      <w:docPartBody>
        <w:p w:rsidR="008A7CC9" w:rsidRDefault="00D52EEB" w:rsidP="00D52EEB">
          <w:pPr>
            <w:pStyle w:val="7A749876403A47DAB956219DAA8E1DCD"/>
          </w:pPr>
          <w:r>
            <w:rPr>
              <w:b/>
              <w:bCs/>
              <w:sz w:val="28"/>
              <w:szCs w:val="28"/>
              <w:rtl/>
            </w:rPr>
            <w:t>מספר זיהוי צד א</w:t>
          </w:r>
        </w:p>
      </w:docPartBody>
    </w:docPart>
    <w:docPart>
      <w:docPartPr>
        <w:name w:val="5FDC2969C508476EB56B3715B84862FB"/>
        <w:category>
          <w:name w:val="כללי"/>
          <w:gallery w:val="placeholder"/>
        </w:category>
        <w:types>
          <w:type w:val="bbPlcHdr"/>
        </w:types>
        <w:behaviors>
          <w:behavior w:val="content"/>
        </w:behaviors>
        <w:guid w:val="{C9C33280-B821-40FD-B92A-90C3269F4AF1}"/>
      </w:docPartPr>
      <w:docPartBody>
        <w:p w:rsidR="008A7CC9" w:rsidRDefault="00D52EEB" w:rsidP="00D52EEB">
          <w:pPr>
            <w:pStyle w:val="5FDC2969C508476EB56B3715B84862FB"/>
          </w:pPr>
          <w:r>
            <w:rPr>
              <w:rStyle w:val="a3"/>
              <w:rtl/>
            </w:rPr>
            <w:t>מעמד/כינוי צד ב</w:t>
          </w:r>
          <w:r>
            <w:rPr>
              <w:rStyle w:val="a3"/>
            </w:rPr>
            <w:t>'</w:t>
          </w:r>
        </w:p>
      </w:docPartBody>
    </w:docPart>
    <w:docPart>
      <w:docPartPr>
        <w:name w:val="8BB9FD383FEF4C299478C7CDEBC72FEF"/>
        <w:category>
          <w:name w:val="כללי"/>
          <w:gallery w:val="placeholder"/>
        </w:category>
        <w:types>
          <w:type w:val="bbPlcHdr"/>
        </w:types>
        <w:behaviors>
          <w:behavior w:val="content"/>
        </w:behaviors>
        <w:guid w:val="{677123AD-33F5-4235-B151-CFC655006ADC}"/>
      </w:docPartPr>
      <w:docPartBody>
        <w:p w:rsidR="008A7CC9" w:rsidRDefault="00D52EEB" w:rsidP="00D52EEB">
          <w:pPr>
            <w:pStyle w:val="8BB9FD383FEF4C299478C7CDEBC72FEF"/>
          </w:pPr>
          <w:r>
            <w:rPr>
              <w:b/>
              <w:bCs/>
              <w:sz w:val="28"/>
              <w:szCs w:val="28"/>
              <w:rtl/>
            </w:rPr>
            <w:t>סוג זיהוי צד ב</w:t>
          </w:r>
        </w:p>
      </w:docPartBody>
    </w:docPart>
    <w:docPart>
      <w:docPartPr>
        <w:name w:val="A55AF5F4AF804A90BAF0F30A93789345"/>
        <w:category>
          <w:name w:val="כללי"/>
          <w:gallery w:val="placeholder"/>
        </w:category>
        <w:types>
          <w:type w:val="bbPlcHdr"/>
        </w:types>
        <w:behaviors>
          <w:behavior w:val="content"/>
        </w:behaviors>
        <w:guid w:val="{E3EC94E9-D90F-4254-A31A-6B621BB84FD6}"/>
      </w:docPartPr>
      <w:docPartBody>
        <w:p w:rsidR="008A7CC9" w:rsidRDefault="00D52EEB" w:rsidP="00D52EEB">
          <w:pPr>
            <w:pStyle w:val="A55AF5F4AF804A90BAF0F30A93789345"/>
          </w:pPr>
          <w:r>
            <w:rPr>
              <w:b/>
              <w:bCs/>
              <w:sz w:val="28"/>
              <w:szCs w:val="28"/>
              <w:rtl/>
            </w:rPr>
            <w:t>מספר זיהוי צד ב</w:t>
          </w:r>
        </w:p>
      </w:docPartBody>
    </w:docPart>
    <w:docPart>
      <w:docPartPr>
        <w:name w:val="FCDB6B22B8BA4C7B854F7BAC7BCB8FCD"/>
        <w:category>
          <w:name w:val="כללי"/>
          <w:gallery w:val="placeholder"/>
        </w:category>
        <w:types>
          <w:type w:val="bbPlcHdr"/>
        </w:types>
        <w:behaviors>
          <w:behavior w:val="content"/>
        </w:behaviors>
        <w:guid w:val="{E411C6C2-7F29-46BE-8E35-C271E07A1696}"/>
      </w:docPartPr>
      <w:docPartBody>
        <w:p w:rsidR="008A7CC9" w:rsidRDefault="00D52EEB" w:rsidP="00D52EEB">
          <w:pPr>
            <w:pStyle w:val="FCDB6B22B8BA4C7B854F7BAC7BCB8FCD"/>
          </w:pPr>
          <w:r>
            <w:rPr>
              <w:rFonts w:cs="David"/>
              <w:b/>
              <w:bCs/>
              <w:rtl/>
            </w:rPr>
            <w:t>שם פרטי חותם</w:t>
          </w:r>
        </w:p>
      </w:docPartBody>
    </w:docPart>
    <w:docPart>
      <w:docPartPr>
        <w:name w:val="95914DCEC9A043C0A904C983AB5715BE"/>
        <w:category>
          <w:name w:val="כללי"/>
          <w:gallery w:val="placeholder"/>
        </w:category>
        <w:types>
          <w:type w:val="bbPlcHdr"/>
        </w:types>
        <w:behaviors>
          <w:behavior w:val="content"/>
        </w:behaviors>
        <w:guid w:val="{8D49200A-FA21-4BCB-B03C-53D3674979D2}"/>
      </w:docPartPr>
      <w:docPartBody>
        <w:p w:rsidR="008A7CC9" w:rsidRDefault="00D52EEB" w:rsidP="00D52EEB">
          <w:pPr>
            <w:pStyle w:val="95914DCEC9A043C0A904C983AB5715BE"/>
          </w:pPr>
          <w:r>
            <w:rPr>
              <w:rFonts w:cs="David"/>
              <w:b/>
              <w:bCs/>
              <w:rtl/>
            </w:rPr>
            <w:t>שם משפחה חותם</w:t>
          </w:r>
        </w:p>
      </w:docPartBody>
    </w:docPart>
    <w:docPart>
      <w:docPartPr>
        <w:name w:val="7F199CEA268B447280F1EE56BC3A909A"/>
        <w:category>
          <w:name w:val="כללי"/>
          <w:gallery w:val="placeholder"/>
        </w:category>
        <w:types>
          <w:type w:val="bbPlcHdr"/>
        </w:types>
        <w:behaviors>
          <w:behavior w:val="content"/>
        </w:behaviors>
        <w:guid w:val="{348A70F4-A732-453C-AF3F-6E26968DF982}"/>
      </w:docPartPr>
      <w:docPartBody>
        <w:p w:rsidR="008A7CC9" w:rsidRDefault="00D52EEB" w:rsidP="00D52EEB">
          <w:pPr>
            <w:pStyle w:val="7F199CEA268B447280F1EE56BC3A909A"/>
          </w:pPr>
          <w:r>
            <w:rPr>
              <w:rFonts w:cs="David"/>
              <w:b/>
              <w:bCs/>
              <w:rtl/>
            </w:rPr>
            <w:t>מעמד חותם</w:t>
          </w:r>
        </w:p>
      </w:docPartBody>
    </w:docPart>
    <w:docPart>
      <w:docPartPr>
        <w:name w:val="FFB2FA197836410DB71B0D47C6845512"/>
        <w:category>
          <w:name w:val="כללי"/>
          <w:gallery w:val="placeholder"/>
        </w:category>
        <w:types>
          <w:type w:val="bbPlcHdr"/>
        </w:types>
        <w:behaviors>
          <w:behavior w:val="content"/>
        </w:behaviors>
        <w:guid w:val="{E10ABE3C-A16C-4DA8-9908-86B5FEEF55B3}"/>
      </w:docPartPr>
      <w:docPartBody>
        <w:p w:rsidR="00712EB6" w:rsidRDefault="008A7CC9" w:rsidP="008A7CC9">
          <w:pPr>
            <w:pStyle w:val="FFB2FA197836410DB71B0D47C6845512"/>
          </w:pPr>
          <w:r>
            <w:rPr>
              <w:rStyle w:val="a3"/>
              <w:rtl/>
            </w:rPr>
            <w:t>סוג תיק</w:t>
          </w:r>
        </w:p>
      </w:docPartBody>
    </w:docPart>
    <w:docPart>
      <w:docPartPr>
        <w:name w:val="71691925EDD04F1A9C614BE1EB04FA95"/>
        <w:category>
          <w:name w:val="כללי"/>
          <w:gallery w:val="placeholder"/>
        </w:category>
        <w:types>
          <w:type w:val="bbPlcHdr"/>
        </w:types>
        <w:behaviors>
          <w:behavior w:val="content"/>
        </w:behaviors>
        <w:guid w:val="{C1994927-C03B-45F4-A180-33C2AD4B7F59}"/>
      </w:docPartPr>
      <w:docPartBody>
        <w:p w:rsidR="00712EB6" w:rsidRDefault="008A7CC9" w:rsidP="008A7CC9">
          <w:pPr>
            <w:pStyle w:val="71691925EDD04F1A9C614BE1EB04FA95"/>
          </w:pPr>
          <w:r>
            <w:rPr>
              <w:rStyle w:val="a3"/>
              <w:rtl/>
            </w:rPr>
            <w:t>מספר תיק</w:t>
          </w:r>
          <w:r>
            <w:rPr>
              <w:rStyle w:val="a3"/>
            </w:rPr>
            <w:t xml:space="preserve"> </w:t>
          </w:r>
        </w:p>
      </w:docPartBody>
    </w:docPart>
    <w:docPart>
      <w:docPartPr>
        <w:name w:val="508D34D1328F4EDCB6DC748E86512DC6"/>
        <w:category>
          <w:name w:val="כללי"/>
          <w:gallery w:val="placeholder"/>
        </w:category>
        <w:types>
          <w:type w:val="bbPlcHdr"/>
        </w:types>
        <w:behaviors>
          <w:behavior w:val="content"/>
        </w:behaviors>
        <w:guid w:val="{2AFC8536-3E2F-4CFC-86F3-A50535FF642F}"/>
      </w:docPartPr>
      <w:docPartBody>
        <w:p w:rsidR="00712EB6" w:rsidRDefault="008A7CC9" w:rsidP="008A7CC9">
          <w:pPr>
            <w:pStyle w:val="508D34D1328F4EDCB6DC748E86512DC6"/>
          </w:pPr>
          <w:r>
            <w:rPr>
              <w:b/>
              <w:bCs/>
              <w:sz w:val="28"/>
              <w:szCs w:val="28"/>
              <w:rtl/>
            </w:rPr>
            <w:t>שם תיק</w:t>
          </w:r>
        </w:p>
      </w:docPartBody>
    </w:docPart>
    <w:docPart>
      <w:docPartPr>
        <w:name w:val="32C004F018CF4237A3A74F939C6A57BB"/>
        <w:category>
          <w:name w:val="כללי"/>
          <w:gallery w:val="placeholder"/>
        </w:category>
        <w:types>
          <w:type w:val="bbPlcHdr"/>
        </w:types>
        <w:behaviors>
          <w:behavior w:val="content"/>
        </w:behaviors>
        <w:guid w:val="{0EE15C2C-E473-48DD-9D3B-6D74D767D43B}"/>
      </w:docPartPr>
      <w:docPartBody>
        <w:p w:rsidR="00712EB6" w:rsidRDefault="008A7CC9" w:rsidP="008A7CC9">
          <w:pPr>
            <w:pStyle w:val="32C004F018CF4237A3A74F939C6A57BB"/>
          </w:pPr>
          <w:r>
            <w:rPr>
              <w:b/>
              <w:bCs/>
              <w:sz w:val="28"/>
              <w:szCs w:val="28"/>
              <w:rtl/>
            </w:rPr>
            <w:t>תאריך דיון</w:t>
          </w:r>
        </w:p>
      </w:docPartBody>
    </w:docPart>
    <w:docPart>
      <w:docPartPr>
        <w:name w:val="376EBB24DB21426787F3B2ACCFB5DE27"/>
        <w:category>
          <w:name w:val="כללי"/>
          <w:gallery w:val="placeholder"/>
        </w:category>
        <w:types>
          <w:type w:val="bbPlcHdr"/>
        </w:types>
        <w:behaviors>
          <w:behavior w:val="content"/>
        </w:behaviors>
        <w:guid w:val="{71A878F4-3A5B-47B9-A9C0-08E241938887}"/>
      </w:docPartPr>
      <w:docPartBody>
        <w:p w:rsidR="00712EB6" w:rsidRDefault="008A7CC9" w:rsidP="008A7CC9">
          <w:pPr>
            <w:pStyle w:val="376EBB24DB21426787F3B2ACCFB5DE27"/>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5E3A7B"/>
    <w:rsid w:val="00712EB6"/>
    <w:rsid w:val="008A7CC9"/>
    <w:rsid w:val="00D52EEB"/>
    <w:rsid w:val="00E17978"/>
    <w:rsid w:val="00E27BC5"/>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8A7CC9"/>
  </w:style>
  <w:style w:type="paragraph" w:customStyle="1" w:styleId="AA84A2823C0B45FBAD1A35D5ED710CA8">
    <w:name w:val="AA84A2823C0B45FBAD1A35D5ED710CA8"/>
    <w:rsid w:val="00F94841"/>
    <w:pPr>
      <w:bidi/>
    </w:pPr>
  </w:style>
  <w:style w:type="paragraph" w:customStyle="1" w:styleId="23309099808849A3A56095B5964044E5">
    <w:name w:val="23309099808849A3A56095B5964044E5"/>
    <w:rsid w:val="00D52EEB"/>
    <w:pPr>
      <w:bidi/>
    </w:pPr>
  </w:style>
  <w:style w:type="paragraph" w:customStyle="1" w:styleId="F415FCE96C01490F94F43F1C067FF559">
    <w:name w:val="F415FCE96C01490F94F43F1C067FF559"/>
    <w:rsid w:val="00D52EEB"/>
    <w:pPr>
      <w:bidi/>
    </w:pPr>
  </w:style>
  <w:style w:type="paragraph" w:customStyle="1" w:styleId="7A749876403A47DAB956219DAA8E1DCD">
    <w:name w:val="7A749876403A47DAB956219DAA8E1DCD"/>
    <w:rsid w:val="00D52EEB"/>
    <w:pPr>
      <w:bidi/>
    </w:pPr>
  </w:style>
  <w:style w:type="paragraph" w:customStyle="1" w:styleId="5FDC2969C508476EB56B3715B84862FB">
    <w:name w:val="5FDC2969C508476EB56B3715B84862FB"/>
    <w:rsid w:val="00D52EEB"/>
    <w:pPr>
      <w:bidi/>
    </w:pPr>
  </w:style>
  <w:style w:type="paragraph" w:customStyle="1" w:styleId="8BB9FD383FEF4C299478C7CDEBC72FEF">
    <w:name w:val="8BB9FD383FEF4C299478C7CDEBC72FEF"/>
    <w:rsid w:val="00D52EEB"/>
    <w:pPr>
      <w:bidi/>
    </w:pPr>
  </w:style>
  <w:style w:type="paragraph" w:customStyle="1" w:styleId="A55AF5F4AF804A90BAF0F30A93789345">
    <w:name w:val="A55AF5F4AF804A90BAF0F30A93789345"/>
    <w:rsid w:val="00D52EEB"/>
    <w:pPr>
      <w:bidi/>
    </w:pPr>
  </w:style>
  <w:style w:type="paragraph" w:customStyle="1" w:styleId="3D81F1FE4A444AF28596CEF29A8EAF95">
    <w:name w:val="3D81F1FE4A444AF28596CEF29A8EAF95"/>
    <w:rsid w:val="00D52EEB"/>
    <w:pPr>
      <w:bidi/>
    </w:pPr>
  </w:style>
  <w:style w:type="paragraph" w:customStyle="1" w:styleId="CB5F72BB1F6A4824BA466ACF7F1CABD0">
    <w:name w:val="CB5F72BB1F6A4824BA466ACF7F1CABD0"/>
    <w:rsid w:val="00D52EEB"/>
    <w:pPr>
      <w:bidi/>
    </w:pPr>
  </w:style>
  <w:style w:type="paragraph" w:customStyle="1" w:styleId="AEBD1B3AF6CB44C4B3974F85654673C2">
    <w:name w:val="AEBD1B3AF6CB44C4B3974F85654673C2"/>
    <w:rsid w:val="00D52EEB"/>
    <w:pPr>
      <w:bidi/>
    </w:pPr>
  </w:style>
  <w:style w:type="paragraph" w:customStyle="1" w:styleId="FCDB6B22B8BA4C7B854F7BAC7BCB8FCD">
    <w:name w:val="FCDB6B22B8BA4C7B854F7BAC7BCB8FCD"/>
    <w:rsid w:val="00D52EEB"/>
    <w:pPr>
      <w:bidi/>
    </w:pPr>
  </w:style>
  <w:style w:type="paragraph" w:customStyle="1" w:styleId="95914DCEC9A043C0A904C983AB5715BE">
    <w:name w:val="95914DCEC9A043C0A904C983AB5715BE"/>
    <w:rsid w:val="00D52EEB"/>
    <w:pPr>
      <w:bidi/>
    </w:pPr>
  </w:style>
  <w:style w:type="paragraph" w:customStyle="1" w:styleId="7F199CEA268B447280F1EE56BC3A909A">
    <w:name w:val="7F199CEA268B447280F1EE56BC3A909A"/>
    <w:rsid w:val="00D52EEB"/>
    <w:pPr>
      <w:bidi/>
    </w:pPr>
  </w:style>
  <w:style w:type="paragraph" w:customStyle="1" w:styleId="FFB2FA197836410DB71B0D47C6845512">
    <w:name w:val="FFB2FA197836410DB71B0D47C6845512"/>
    <w:rsid w:val="008A7CC9"/>
    <w:pPr>
      <w:bidi/>
    </w:pPr>
  </w:style>
  <w:style w:type="paragraph" w:customStyle="1" w:styleId="71691925EDD04F1A9C614BE1EB04FA95">
    <w:name w:val="71691925EDD04F1A9C614BE1EB04FA95"/>
    <w:rsid w:val="008A7CC9"/>
    <w:pPr>
      <w:bidi/>
    </w:pPr>
  </w:style>
  <w:style w:type="paragraph" w:customStyle="1" w:styleId="508D34D1328F4EDCB6DC748E86512DC6">
    <w:name w:val="508D34D1328F4EDCB6DC748E86512DC6"/>
    <w:rsid w:val="008A7CC9"/>
    <w:pPr>
      <w:bidi/>
    </w:pPr>
  </w:style>
  <w:style w:type="paragraph" w:customStyle="1" w:styleId="32C004F018CF4237A3A74F939C6A57BB">
    <w:name w:val="32C004F018CF4237A3A74F939C6A57BB"/>
    <w:rsid w:val="008A7CC9"/>
    <w:pPr>
      <w:bidi/>
    </w:pPr>
  </w:style>
  <w:style w:type="paragraph" w:customStyle="1" w:styleId="376EBB24DB21426787F3B2ACCFB5DE27">
    <w:name w:val="376EBB24DB21426787F3B2ACCFB5DE27"/>
    <w:rsid w:val="008A7CC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1156</Words>
  <Characters>5781</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2024-06-06T11:45:00Z</dcterms:created>
  <dcterms:modified xsi:type="dcterms:W3CDTF">2024-06-06T11:45:00Z</dcterms:modified>
</cp:coreProperties>
</file>